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7D33C4EC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B73470">
        <w:rPr>
          <w:rFonts w:asciiTheme="majorEastAsia" w:eastAsiaTheme="majorEastAsia" w:hAnsiTheme="majorEastAsia" w:cs="ＭＳ 明朝"/>
          <w:sz w:val="20"/>
          <w:szCs w:val="20"/>
        </w:rPr>
        <w:t>3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B73470">
        <w:rPr>
          <w:rFonts w:asciiTheme="majorEastAsia" w:eastAsiaTheme="majorEastAsia" w:hAnsiTheme="majorEastAsia" w:cs="ＭＳ 明朝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444ACDA5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022B60B9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16481404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51E52040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02718F9D" w14:textId="5F41129A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68388A9" w14:textId="79765B78" w:rsidR="00377504" w:rsidRPr="00766620" w:rsidRDefault="00377504" w:rsidP="00377504">
      <w:pPr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※各項目について直近決算年度末の数値を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</w:t>
      </w:r>
      <w:r w:rsidRPr="00766620">
        <w:rPr>
          <w:rFonts w:asciiTheme="majorEastAsia" w:eastAsiaTheme="majorEastAsia" w:hAnsiTheme="majorEastAsia" w:hint="eastAsia"/>
          <w:szCs w:val="21"/>
        </w:rPr>
        <w:t>記入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3F1E8978" w14:textId="39B04BB0" w:rsidR="00377504" w:rsidRPr="00766620" w:rsidRDefault="00377504" w:rsidP="00766620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※共同申請の場合には、以下の表をコピーし、共同申請を構成する全ての事業者ごとに記載</w:t>
      </w:r>
      <w:r w:rsidR="009710DD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118CA4C7" w14:textId="1F53649B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42C70FA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5D475EDB" w14:textId="77777777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 w:hint="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66348A7C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9E61CD6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377504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lastRenderedPageBreak/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16630C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BCCA7AB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7F3BED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7F3BED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519E34B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53" w:type="dxa"/>
            <w:gridSpan w:val="3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3D59BBAE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B16CCF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B16CCF" w:rsidRPr="00DF35E6" w:rsidRDefault="00544C8A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0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0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27B096F3" w:rsidR="00B16CCF" w:rsidRPr="00DF35E6" w:rsidRDefault="00B16CCF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該当有り</w:t>
            </w: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 xml:space="preserve">　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該当無し</w:t>
            </w: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5CC2507F" w:rsidR="00D64C26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400" w14:textId="0B240DB5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1" w:name="_Hlk135740048"/>
    <w:bookmarkStart w:id="2" w:name="_Hlk135740049"/>
    <w:r>
      <w:rPr>
        <w:rFonts w:asciiTheme="majorEastAsia" w:eastAsiaTheme="majorEastAsia" w:hAnsiTheme="majorEastAsia" w:hint="eastAsia"/>
        <w:sz w:val="20"/>
        <w:szCs w:val="20"/>
      </w:rPr>
      <w:t>0</w:t>
    </w:r>
    <w:r>
      <w:rPr>
        <w:rFonts w:asciiTheme="majorEastAsia" w:eastAsiaTheme="majorEastAsia" w:hAnsiTheme="majorEastAsia"/>
        <w:sz w:val="20"/>
        <w:szCs w:val="20"/>
      </w:rPr>
      <w:t>2_</w:t>
    </w:r>
    <w:r w:rsidR="00E31702" w:rsidRPr="00501159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501159">
      <w:rPr>
        <w:rFonts w:asciiTheme="majorEastAsia" w:eastAsiaTheme="majorEastAsia" w:hAnsiTheme="majorEastAsia"/>
        <w:sz w:val="20"/>
        <w:szCs w:val="20"/>
      </w:rPr>
      <w:t>er.</w:t>
    </w:r>
    <w:r w:rsidR="002C180C" w:rsidRPr="00501159">
      <w:rPr>
        <w:rFonts w:asciiTheme="majorEastAsia" w:eastAsiaTheme="majorEastAsia" w:hAnsiTheme="majorEastAsia" w:hint="eastAsia"/>
        <w:sz w:val="20"/>
        <w:szCs w:val="20"/>
      </w:rPr>
      <w:t>2</w:t>
    </w:r>
    <w:bookmarkEnd w:id="1"/>
    <w:bookmarkEnd w:id="2"/>
    <w:r w:rsidR="00E31702" w:rsidRPr="00501159">
      <w:rPr>
        <w:rFonts w:asciiTheme="majorEastAsia" w:eastAsiaTheme="majorEastAsia" w:hAnsiTheme="majorEastAsia"/>
        <w:sz w:val="20"/>
        <w:szCs w:val="20"/>
      </w:rPr>
      <w:t>.</w:t>
    </w:r>
    <w:r w:rsidR="00DF35E6">
      <w:rPr>
        <w:rFonts w:asciiTheme="majorEastAsia" w:eastAsiaTheme="majorEastAsia" w:hAnsiTheme="majorEastAsia"/>
        <w:sz w:val="20"/>
        <w:szCs w:val="20"/>
      </w:rPr>
      <w:t>1</w:t>
    </w: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2023-06-28T00:34:00Z</dcterms:created>
  <dcterms:modified xsi:type="dcterms:W3CDTF">2023-06-28T02:37:00Z</dcterms:modified>
</cp:coreProperties>
</file>